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06E5C">
      <w:pPr>
        <w:ind w:firstLine="0" w:firstLineChars="0"/>
        <w:jc w:val="center"/>
        <w:rPr>
          <w:rFonts w:hint="eastAsia" w:ascii="长城小" w:hAnsi="长城小" w:eastAsia="长城小" w:cs="长城小"/>
          <w:b/>
          <w:bCs/>
          <w:color w:val="auto"/>
          <w:sz w:val="44"/>
          <w:szCs w:val="44"/>
        </w:rPr>
      </w:pPr>
    </w:p>
    <w:p w14:paraId="5F5691C4">
      <w:pPr>
        <w:ind w:firstLine="0" w:firstLineChars="0"/>
        <w:jc w:val="center"/>
        <w:rPr>
          <w:rFonts w:hint="eastAsia" w:ascii="长城小" w:hAnsi="长城小" w:eastAsia="长城小" w:cs="长城小"/>
          <w:b/>
          <w:bCs/>
          <w:color w:val="auto"/>
          <w:sz w:val="44"/>
          <w:szCs w:val="44"/>
        </w:rPr>
      </w:pPr>
      <w:bookmarkStart w:id="0" w:name="OLE_LINK1"/>
      <w:r>
        <w:rPr>
          <w:rFonts w:hint="eastAsia" w:ascii="长城小" w:hAnsi="长城小" w:eastAsia="长城小" w:cs="长城小"/>
          <w:b/>
          <w:bCs/>
          <w:color w:val="auto"/>
          <w:sz w:val="44"/>
          <w:szCs w:val="44"/>
        </w:rPr>
        <w:t>四川省绵阳市丰谷酒业有限责任公司</w:t>
      </w:r>
    </w:p>
    <w:p w14:paraId="1722FDF2">
      <w:pPr>
        <w:ind w:firstLine="0" w:firstLineChars="0"/>
        <w:jc w:val="center"/>
        <w:rPr>
          <w:rFonts w:hint="eastAsia" w:ascii="长城小" w:hAnsi="长城小" w:eastAsia="长城小" w:cs="长城小"/>
          <w:b/>
          <w:bCs/>
          <w:color w:val="auto"/>
          <w:sz w:val="44"/>
          <w:szCs w:val="44"/>
        </w:rPr>
      </w:pPr>
      <w:r>
        <w:rPr>
          <w:rFonts w:hint="eastAsia" w:ascii="长城小" w:hAnsi="长城小" w:eastAsia="长城小" w:cs="长城小"/>
          <w:b/>
          <w:bCs/>
          <w:color w:val="auto"/>
          <w:sz w:val="44"/>
          <w:szCs w:val="44"/>
        </w:rPr>
        <w:t>品牌宣传</w:t>
      </w:r>
      <w:r>
        <w:rPr>
          <w:rFonts w:hint="eastAsia" w:ascii="长城小" w:hAnsi="长城小" w:eastAsia="长城小" w:cs="长城小"/>
          <w:b/>
          <w:bCs/>
          <w:color w:val="auto"/>
          <w:sz w:val="44"/>
          <w:szCs w:val="44"/>
          <w:lang w:val="en-US" w:eastAsia="zh-CN"/>
        </w:rPr>
        <w:t>产品</w:t>
      </w:r>
      <w:r>
        <w:rPr>
          <w:rFonts w:hint="eastAsia" w:ascii="长城小" w:hAnsi="长城小" w:eastAsia="长城小" w:cs="长城小"/>
          <w:b/>
          <w:bCs/>
          <w:color w:val="auto"/>
          <w:sz w:val="44"/>
          <w:szCs w:val="44"/>
        </w:rPr>
        <w:t>置换</w:t>
      </w:r>
      <w:bookmarkStart w:id="1" w:name="OLE_LINK2"/>
      <w:r>
        <w:rPr>
          <w:rFonts w:hint="eastAsia" w:ascii="长城小" w:hAnsi="长城小" w:eastAsia="长城小" w:cs="长城小"/>
          <w:b/>
          <w:bCs/>
          <w:color w:val="auto"/>
          <w:sz w:val="44"/>
          <w:szCs w:val="44"/>
        </w:rPr>
        <w:t>实施</w:t>
      </w:r>
      <w:bookmarkEnd w:id="1"/>
      <w:bookmarkStart w:id="2" w:name="OLE_LINK6"/>
      <w:r>
        <w:rPr>
          <w:rFonts w:hint="eastAsia" w:ascii="长城小" w:hAnsi="长城小" w:eastAsia="长城小" w:cs="长城小"/>
          <w:b/>
          <w:bCs/>
          <w:color w:val="auto"/>
          <w:sz w:val="44"/>
          <w:szCs w:val="44"/>
        </w:rPr>
        <w:t>方案</w:t>
      </w:r>
    </w:p>
    <w:bookmarkEnd w:id="0"/>
    <w:bookmarkEnd w:id="2"/>
    <w:p w14:paraId="3474FC6A">
      <w:pPr>
        <w:pStyle w:val="4"/>
        <w:spacing w:line="540" w:lineRule="exact"/>
        <w:ind w:firstLine="640"/>
        <w:rPr>
          <w:rFonts w:hint="eastAsia" w:ascii="黑体" w:hAnsi="黑体" w:eastAsia="黑体" w:cs="黑体"/>
          <w:color w:val="auto"/>
        </w:rPr>
      </w:pPr>
    </w:p>
    <w:p w14:paraId="07043DA3">
      <w:pPr>
        <w:pStyle w:val="4"/>
        <w:spacing w:line="540" w:lineRule="exact"/>
        <w:ind w:firstLine="0" w:firstLineChars="0"/>
        <w:jc w:val="center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 xml:space="preserve">第一章 </w:t>
      </w:r>
      <w:r>
        <w:rPr>
          <w:rFonts w:ascii="黑体" w:hAnsi="黑体" w:eastAsia="黑体" w:cs="黑体"/>
          <w:color w:val="auto"/>
        </w:rPr>
        <w:t xml:space="preserve"> </w:t>
      </w:r>
      <w:r>
        <w:rPr>
          <w:rFonts w:hint="eastAsia" w:ascii="黑体" w:hAnsi="黑体" w:eastAsia="黑体" w:cs="黑体"/>
          <w:color w:val="auto"/>
        </w:rPr>
        <w:t>总则</w:t>
      </w:r>
    </w:p>
    <w:p w14:paraId="48BD427F">
      <w:pPr>
        <w:pStyle w:val="3"/>
        <w:widowControl/>
        <w:snapToGrid w:val="0"/>
        <w:spacing w:beforeAutospacing="0" w:afterAutospacing="0"/>
        <w:ind w:firstLine="643"/>
        <w:rPr>
          <w:rFonts w:ascii="楷体_GB2312" w:hAnsi="楷体_GB2312" w:eastAsia="楷体_GB2312" w:cs="楷体_GB2312"/>
          <w:color w:val="auto"/>
          <w:sz w:val="32"/>
          <w:szCs w:val="32"/>
        </w:rPr>
      </w:pPr>
      <w:r>
        <w:rPr>
          <w:rFonts w:ascii="楷体_GB2312" w:hAnsi="楷体_GB2312" w:eastAsia="楷体_GB2312" w:cs="楷体_GB2312"/>
          <w:color w:val="auto"/>
          <w:sz w:val="32"/>
          <w:szCs w:val="32"/>
        </w:rPr>
        <w:t>一、定义</w:t>
      </w:r>
    </w:p>
    <w:p w14:paraId="1FACE964">
      <w:pPr>
        <w:widowControl/>
        <w:snapToGrid w:val="0"/>
        <w:ind w:firstLine="640"/>
        <w:rPr>
          <w:rFonts w:hint="eastAsia" w:ascii="仿宋_GB2312" w:hAnsi="仿宋_GB2312" w:cs="仿宋_GB2312"/>
          <w:color w:val="auto"/>
          <w:kern w:val="0"/>
          <w:szCs w:val="32"/>
          <w:lang w:bidi="ar"/>
        </w:rPr>
      </w:pPr>
      <w:r>
        <w:rPr>
          <w:rFonts w:hint="eastAsia" w:ascii="仿宋_GB2312" w:hAnsi="仿宋_GB2312" w:cs="仿宋_GB2312"/>
          <w:color w:val="auto"/>
          <w:kern w:val="0"/>
          <w:szCs w:val="32"/>
          <w:lang w:bidi="ar"/>
        </w:rPr>
        <w:t>产品置换是指四川省绵</w:t>
      </w:r>
      <w:r>
        <w:rPr>
          <w:color w:val="auto"/>
        </w:rPr>
        <w:t>阳市丰谷酒业有限责任公司（以下简称 “</w:t>
      </w:r>
      <w:bookmarkStart w:id="3" w:name="OLE_LINK9"/>
      <w:r>
        <w:rPr>
          <w:color w:val="auto"/>
        </w:rPr>
        <w:t>丰谷酒业</w:t>
      </w:r>
      <w:bookmarkEnd w:id="3"/>
      <w:r>
        <w:rPr>
          <w:color w:val="auto"/>
        </w:rPr>
        <w:t>” 或 “</w:t>
      </w:r>
      <w:bookmarkStart w:id="4" w:name="OLE_LINK8"/>
      <w:r>
        <w:rPr>
          <w:color w:val="auto"/>
        </w:rPr>
        <w:t>公司</w:t>
      </w:r>
      <w:bookmarkEnd w:id="4"/>
      <w:r>
        <w:rPr>
          <w:color w:val="auto"/>
        </w:rPr>
        <w:t>”）与广告公司、媒体等外部单位</w:t>
      </w:r>
      <w:r>
        <w:rPr>
          <w:rFonts w:hint="eastAsia"/>
          <w:color w:val="auto"/>
        </w:rPr>
        <w:t>开展的产品与宣传资源互换的</w:t>
      </w:r>
      <w:r>
        <w:rPr>
          <w:color w:val="auto"/>
        </w:rPr>
        <w:t>商业合作方式。</w:t>
      </w:r>
    </w:p>
    <w:p w14:paraId="47826058">
      <w:pPr>
        <w:pStyle w:val="3"/>
        <w:widowControl/>
        <w:snapToGrid w:val="0"/>
        <w:spacing w:beforeAutospacing="0" w:afterAutospacing="0"/>
        <w:ind w:firstLine="643"/>
        <w:rPr>
          <w:rFonts w:ascii="楷体_GB2312" w:hAnsi="楷体_GB2312" w:eastAsia="楷体_GB2312" w:cs="楷体_GB2312"/>
          <w:color w:val="auto"/>
          <w:sz w:val="32"/>
          <w:szCs w:val="32"/>
        </w:rPr>
      </w:pPr>
      <w:r>
        <w:rPr>
          <w:rFonts w:ascii="楷体_GB2312" w:hAnsi="楷体_GB2312" w:eastAsia="楷体_GB2312" w:cs="楷体_GB2312"/>
          <w:color w:val="auto"/>
          <w:sz w:val="32"/>
          <w:szCs w:val="32"/>
        </w:rPr>
        <w:t>二、原则</w:t>
      </w:r>
    </w:p>
    <w:p w14:paraId="6FB6E097">
      <w:pPr>
        <w:pStyle w:val="3"/>
        <w:widowControl/>
        <w:snapToGrid w:val="0"/>
        <w:spacing w:beforeAutospacing="0" w:afterAutospacing="0"/>
        <w:ind w:firstLine="640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合作遵循平等自愿、价值对等、双向赋能、互利共赢、长期可持续原则；</w:t>
      </w:r>
    </w:p>
    <w:p w14:paraId="55D2EBC7">
      <w:pPr>
        <w:pStyle w:val="3"/>
        <w:widowControl/>
        <w:snapToGrid w:val="0"/>
        <w:spacing w:beforeAutospacing="0" w:afterAutospacing="0"/>
        <w:ind w:firstLine="640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遵守公司相关制度，坚持以品牌宣传为导向，严格筛选符合公司需要的广告资源；</w:t>
      </w:r>
    </w:p>
    <w:p w14:paraId="17AC12ED">
      <w:pPr>
        <w:pStyle w:val="3"/>
        <w:widowControl/>
        <w:snapToGrid w:val="0"/>
        <w:spacing w:beforeAutospacing="0" w:afterAutospacing="0"/>
        <w:ind w:firstLine="640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bookmarkStart w:id="5" w:name="OLE_LINK10"/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禁止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合作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单位以置换产品冲击市场价格体系、引发窜货，损</w:t>
      </w:r>
      <w:bookmarkEnd w:id="5"/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害品牌形象。</w:t>
      </w:r>
    </w:p>
    <w:p w14:paraId="3F5EDB93">
      <w:pPr>
        <w:pStyle w:val="3"/>
        <w:widowControl/>
        <w:snapToGrid w:val="0"/>
        <w:spacing w:beforeAutospacing="0" w:afterAutospacing="0"/>
        <w:ind w:firstLine="643"/>
        <w:rPr>
          <w:rFonts w:ascii="楷体_GB2312" w:hAnsi="楷体_GB2312" w:eastAsia="楷体_GB2312" w:cs="楷体_GB2312"/>
          <w:color w:val="auto"/>
          <w:sz w:val="32"/>
          <w:szCs w:val="32"/>
        </w:rPr>
      </w:pPr>
      <w:r>
        <w:rPr>
          <w:rFonts w:ascii="楷体_GB2312" w:hAnsi="楷体_GB2312" w:eastAsia="楷体_GB2312" w:cs="楷体_GB2312"/>
          <w:color w:val="auto"/>
          <w:sz w:val="32"/>
          <w:szCs w:val="32"/>
        </w:rPr>
        <w:t>三、适用范围</w:t>
      </w:r>
    </w:p>
    <w:p w14:paraId="351A6933">
      <w:pPr>
        <w:widowControl/>
        <w:snapToGrid w:val="0"/>
        <w:ind w:firstLine="640"/>
        <w:jc w:val="left"/>
        <w:rPr>
          <w:rFonts w:hint="eastAsia" w:ascii="仿宋_GB2312" w:hAnsi="仿宋_GB2312" w:cs="仿宋_GB2312"/>
          <w:color w:val="auto"/>
          <w:kern w:val="0"/>
          <w:szCs w:val="32"/>
          <w:lang w:bidi="ar"/>
        </w:rPr>
      </w:pPr>
      <w:bookmarkStart w:id="6" w:name="OLE_LINK11"/>
      <w:r>
        <w:rPr>
          <w:rFonts w:hint="eastAsia" w:ascii="仿宋_GB2312" w:hAnsi="仿宋_GB2312" w:cs="仿宋_GB2312"/>
          <w:color w:val="auto"/>
          <w:kern w:val="0"/>
          <w:szCs w:val="32"/>
          <w:lang w:bidi="ar"/>
        </w:rPr>
        <w:t>本方案适用于公司本部、各子公司品牌宣传合作项目，主要覆盖广告媒体、活动执行等项目场景。</w:t>
      </w:r>
    </w:p>
    <w:bookmarkEnd w:id="6"/>
    <w:p w14:paraId="5142985A">
      <w:pPr>
        <w:widowControl/>
        <w:snapToGrid w:val="0"/>
        <w:ind w:firstLine="640"/>
        <w:jc w:val="left"/>
        <w:rPr>
          <w:rFonts w:hint="eastAsia" w:ascii="仿宋_GB2312" w:hAnsi="仿宋_GB2312" w:cs="仿宋_GB2312"/>
          <w:color w:val="auto"/>
          <w:kern w:val="0"/>
          <w:szCs w:val="32"/>
          <w:lang w:bidi="ar"/>
        </w:rPr>
      </w:pPr>
    </w:p>
    <w:p w14:paraId="02DB91D6">
      <w:pPr>
        <w:widowControl/>
        <w:snapToGrid w:val="0"/>
        <w:ind w:firstLine="0" w:firstLineChars="0"/>
        <w:jc w:val="center"/>
        <w:rPr>
          <w:rFonts w:hint="eastAsia" w:ascii="黑体" w:hAnsi="黑体" w:eastAsia="黑体" w:cs="仿宋_GB2312"/>
          <w:color w:val="auto"/>
          <w:kern w:val="0"/>
          <w:szCs w:val="32"/>
          <w:lang w:bidi="ar"/>
        </w:rPr>
      </w:pPr>
      <w:r>
        <w:rPr>
          <w:rFonts w:hint="eastAsia" w:ascii="黑体" w:hAnsi="黑体" w:eastAsia="黑体" w:cs="仿宋_GB2312"/>
          <w:color w:val="auto"/>
          <w:kern w:val="0"/>
          <w:szCs w:val="32"/>
          <w:lang w:bidi="ar"/>
        </w:rPr>
        <w:t xml:space="preserve">第二章 </w:t>
      </w:r>
      <w:r>
        <w:rPr>
          <w:rFonts w:ascii="黑体" w:hAnsi="黑体" w:eastAsia="黑体" w:cs="仿宋_GB2312"/>
          <w:color w:val="auto"/>
          <w:kern w:val="0"/>
          <w:szCs w:val="32"/>
          <w:lang w:bidi="ar"/>
        </w:rPr>
        <w:t xml:space="preserve"> </w:t>
      </w:r>
      <w:bookmarkStart w:id="7" w:name="OLE_LINK5"/>
      <w:r>
        <w:rPr>
          <w:rFonts w:hint="eastAsia" w:ascii="黑体" w:hAnsi="黑体" w:eastAsia="黑体" w:cs="仿宋_GB2312"/>
          <w:color w:val="auto"/>
          <w:kern w:val="0"/>
          <w:szCs w:val="32"/>
          <w:lang w:bidi="ar"/>
        </w:rPr>
        <w:t>产品分类</w:t>
      </w:r>
    </w:p>
    <w:bookmarkEnd w:id="7"/>
    <w:p w14:paraId="4A66F552">
      <w:pPr>
        <w:spacing w:line="540" w:lineRule="exact"/>
        <w:ind w:firstLine="640"/>
        <w:rPr>
          <w:rFonts w:hint="eastAsia" w:eastAsia="仿宋_GB2312"/>
          <w:color w:val="auto"/>
          <w:lang w:eastAsia="zh-CN"/>
        </w:rPr>
      </w:pPr>
      <w:bookmarkStart w:id="8" w:name="OLE_LINK13"/>
      <w:r>
        <w:rPr>
          <w:rFonts w:hint="eastAsia" w:ascii="Times New Roman" w:hAnsi="Times New Roman" w:cs="Times New Roman"/>
          <w:bCs/>
          <w:color w:val="auto"/>
          <w:szCs w:val="32"/>
          <w:lang w:eastAsia="zh-CN"/>
        </w:rPr>
        <w:t>在业务合作中，公司用于置换的产品</w:t>
      </w:r>
      <w:r>
        <w:rPr>
          <w:rFonts w:hint="eastAsia" w:ascii="Times New Roman" w:hAnsi="Times New Roman" w:cs="Times New Roman"/>
          <w:bCs/>
          <w:color w:val="auto"/>
          <w:szCs w:val="32"/>
          <w:lang w:val="en-US" w:eastAsia="zh-CN"/>
        </w:rPr>
        <w:t>分为以下三类，需在与合作单位签订的合同中明确约定。</w:t>
      </w:r>
    </w:p>
    <w:bookmarkEnd w:id="8"/>
    <w:p w14:paraId="25C3CEA2">
      <w:pPr>
        <w:spacing w:line="540" w:lineRule="exact"/>
        <w:ind w:firstLine="645" w:firstLineChars="0"/>
        <w:rPr>
          <w:rFonts w:hint="default" w:ascii="楷体_GB2312" w:hAnsi="楷体_GB2312" w:eastAsia="楷体_GB2312" w:cs="楷体_GB2312"/>
          <w:b/>
          <w:color w:val="auto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szCs w:val="32"/>
        </w:rPr>
        <w:t>四、</w:t>
      </w:r>
      <w:bookmarkStart w:id="9" w:name="OLE_LINK3"/>
      <w:r>
        <w:rPr>
          <w:rFonts w:hint="eastAsia" w:ascii="楷体_GB2312" w:hAnsi="楷体_GB2312" w:eastAsia="楷体_GB2312" w:cs="楷体_GB2312"/>
          <w:b/>
          <w:color w:val="auto"/>
          <w:szCs w:val="32"/>
          <w:lang w:val="en-US" w:eastAsia="zh-CN"/>
        </w:rPr>
        <w:t>常规产品</w:t>
      </w:r>
    </w:p>
    <w:bookmarkEnd w:id="9"/>
    <w:p w14:paraId="63DAEC33">
      <w:pPr>
        <w:spacing w:line="540" w:lineRule="exact"/>
        <w:ind w:firstLine="640"/>
        <w:rPr>
          <w:color w:val="auto"/>
        </w:rPr>
      </w:pPr>
      <w:r>
        <w:rPr>
          <w:rFonts w:hint="eastAsia" w:ascii="Times New Roman" w:hAnsi="Times New Roman" w:cs="Times New Roman"/>
          <w:bCs/>
          <w:color w:val="auto"/>
          <w:szCs w:val="32"/>
          <w:lang w:val="en-US" w:eastAsia="zh-CN"/>
        </w:rPr>
        <w:t>常规产品</w:t>
      </w:r>
      <w:r>
        <w:rPr>
          <w:rFonts w:hint="eastAsia" w:ascii="Times New Roman" w:hAnsi="Times New Roman" w:cs="Times New Roman"/>
          <w:bCs/>
          <w:color w:val="auto"/>
          <w:szCs w:val="32"/>
        </w:rPr>
        <w:t>，</w:t>
      </w:r>
      <w:r>
        <w:rPr>
          <w:color w:val="auto"/>
        </w:rPr>
        <w:t>指公司核心规划、重点推广、主打销售，承担主要营收与品牌</w:t>
      </w:r>
      <w:bookmarkStart w:id="10" w:name="OLE_LINK4"/>
      <w:r>
        <w:rPr>
          <w:color w:val="auto"/>
        </w:rPr>
        <w:t>形象输</w:t>
      </w:r>
      <w:bookmarkEnd w:id="10"/>
      <w:r>
        <w:rPr>
          <w:color w:val="auto"/>
        </w:rPr>
        <w:t>出的系列酒类产品，</w:t>
      </w:r>
      <w:r>
        <w:rPr>
          <w:rFonts w:hint="eastAsia"/>
          <w:color w:val="auto"/>
        </w:rPr>
        <w:t>为</w:t>
      </w:r>
      <w:r>
        <w:rPr>
          <w:color w:val="auto"/>
        </w:rPr>
        <w:t>公司市场运营与品牌建设的主力产品。</w:t>
      </w:r>
    </w:p>
    <w:p w14:paraId="60A44814">
      <w:pPr>
        <w:spacing w:line="540" w:lineRule="exact"/>
        <w:ind w:firstLine="645" w:firstLineChars="0"/>
        <w:rPr>
          <w:rFonts w:hint="default" w:ascii="楷体_GB2312" w:hAnsi="楷体_GB2312" w:eastAsia="楷体_GB2312" w:cs="楷体_GB2312"/>
          <w:b/>
          <w:color w:val="auto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szCs w:val="32"/>
        </w:rPr>
        <w:t>五、非</w:t>
      </w:r>
      <w:r>
        <w:rPr>
          <w:rFonts w:hint="eastAsia" w:ascii="楷体_GB2312" w:hAnsi="楷体_GB2312" w:eastAsia="楷体_GB2312" w:cs="楷体_GB2312"/>
          <w:b/>
          <w:color w:val="auto"/>
          <w:szCs w:val="32"/>
          <w:lang w:val="en-US" w:eastAsia="zh-CN"/>
        </w:rPr>
        <w:t>常规产品</w:t>
      </w:r>
    </w:p>
    <w:p w14:paraId="196E0228">
      <w:pPr>
        <w:spacing w:line="540" w:lineRule="exact"/>
        <w:ind w:firstLine="640"/>
        <w:rPr>
          <w:rFonts w:ascii="Times New Roman" w:hAnsi="Times New Roman" w:cs="Times New Roman"/>
          <w:bCs/>
          <w:color w:val="auto"/>
          <w:szCs w:val="32"/>
        </w:rPr>
      </w:pPr>
      <w:r>
        <w:rPr>
          <w:rFonts w:hint="eastAsia"/>
          <w:color w:val="auto"/>
        </w:rPr>
        <w:t>非</w:t>
      </w:r>
      <w:r>
        <w:rPr>
          <w:rFonts w:hint="eastAsia"/>
          <w:color w:val="auto"/>
          <w:lang w:val="en-US" w:eastAsia="zh-CN"/>
        </w:rPr>
        <w:t>常规产品</w:t>
      </w:r>
      <w:r>
        <w:rPr>
          <w:rFonts w:hint="eastAsia"/>
          <w:color w:val="auto"/>
        </w:rPr>
        <w:t>，</w:t>
      </w:r>
      <w:r>
        <w:rPr>
          <w:color w:val="auto"/>
        </w:rPr>
        <w:t>指未列入公司核心主推清单、不承担主要营收及品牌形象输出的产品</w:t>
      </w:r>
      <w:r>
        <w:rPr>
          <w:rFonts w:hint="eastAsia"/>
          <w:color w:val="auto"/>
        </w:rPr>
        <w:t>。</w:t>
      </w:r>
    </w:p>
    <w:p w14:paraId="2C5578AC">
      <w:pPr>
        <w:spacing w:line="540" w:lineRule="exact"/>
        <w:ind w:firstLine="643"/>
        <w:rPr>
          <w:rFonts w:hint="eastAsia" w:ascii="楷体_GB2312" w:hAnsi="楷体_GB2312" w:eastAsia="楷体_GB2312" w:cs="楷体_GB2312"/>
          <w:b/>
          <w:color w:val="auto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Cs w:val="32"/>
        </w:rPr>
        <w:t>六、定制产品</w:t>
      </w:r>
    </w:p>
    <w:p w14:paraId="6603248A">
      <w:pPr>
        <w:spacing w:line="540" w:lineRule="exact"/>
        <w:ind w:firstLine="640"/>
        <w:rPr>
          <w:color w:val="auto"/>
        </w:rPr>
      </w:pPr>
      <w:r>
        <w:rPr>
          <w:color w:val="auto"/>
        </w:rPr>
        <w:t>定制产品，指结合合作单位个性化需求，遵循公司《定制产品运营</w:t>
      </w:r>
      <w:r>
        <w:rPr>
          <w:rFonts w:hint="eastAsia"/>
          <w:color w:val="auto"/>
          <w:lang w:val="en-US" w:eastAsia="zh-CN"/>
        </w:rPr>
        <w:t>管理办法</w:t>
      </w:r>
      <w:r>
        <w:rPr>
          <w:color w:val="auto"/>
        </w:rPr>
        <w:t>（</w:t>
      </w:r>
      <w:r>
        <w:rPr>
          <w:rFonts w:hint="eastAsia"/>
          <w:color w:val="auto"/>
          <w:lang w:val="en-US" w:eastAsia="zh-CN"/>
        </w:rPr>
        <w:t>2026修订版</w:t>
      </w:r>
      <w:bookmarkStart w:id="21" w:name="_GoBack"/>
      <w:bookmarkEnd w:id="21"/>
      <w:r>
        <w:rPr>
          <w:color w:val="auto"/>
        </w:rPr>
        <w:t>）》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</w:rPr>
        <w:t>绵丰酒司[202</w:t>
      </w:r>
      <w:r>
        <w:rPr>
          <w:rFonts w:hint="eastAsia"/>
          <w:color w:val="auto"/>
          <w:lang w:val="en-US" w:eastAsia="zh-CN"/>
        </w:rPr>
        <w:t>6</w:t>
      </w:r>
      <w:r>
        <w:rPr>
          <w:rFonts w:hint="eastAsia"/>
          <w:color w:val="auto"/>
        </w:rPr>
        <w:t>]</w:t>
      </w:r>
      <w:r>
        <w:rPr>
          <w:rFonts w:hint="eastAsia"/>
          <w:color w:val="auto"/>
          <w:lang w:val="en-US" w:eastAsia="zh-CN"/>
        </w:rPr>
        <w:t>148</w:t>
      </w:r>
      <w:r>
        <w:rPr>
          <w:rFonts w:hint="eastAsia"/>
          <w:color w:val="auto"/>
        </w:rPr>
        <w:t>号</w:t>
      </w:r>
      <w:r>
        <w:rPr>
          <w:rFonts w:hint="eastAsia"/>
          <w:color w:val="auto"/>
          <w:lang w:eastAsia="zh-CN"/>
        </w:rPr>
        <w:t>）</w:t>
      </w:r>
      <w:r>
        <w:rPr>
          <w:rFonts w:hint="eastAsia"/>
          <w:color w:val="auto"/>
        </w:rPr>
        <w:t>等管理制度</w:t>
      </w:r>
      <w:r>
        <w:rPr>
          <w:color w:val="auto"/>
        </w:rPr>
        <w:t>，为合作</w:t>
      </w:r>
      <w:r>
        <w:rPr>
          <w:rFonts w:hint="eastAsia"/>
          <w:color w:val="auto"/>
          <w:lang w:val="en-US" w:eastAsia="zh-CN"/>
        </w:rPr>
        <w:t>单位</w:t>
      </w:r>
      <w:r>
        <w:rPr>
          <w:color w:val="auto"/>
        </w:rPr>
        <w:t>专属定制、研发及生产的产品。</w:t>
      </w:r>
    </w:p>
    <w:p w14:paraId="219DBBF8">
      <w:pPr>
        <w:spacing w:line="540" w:lineRule="exact"/>
        <w:ind w:firstLine="640"/>
        <w:rPr>
          <w:rFonts w:ascii="Times New Roman" w:hAnsi="Times New Roman" w:cs="Times New Roman"/>
          <w:bCs/>
          <w:color w:val="auto"/>
          <w:szCs w:val="32"/>
        </w:rPr>
      </w:pPr>
    </w:p>
    <w:p w14:paraId="3B40D9E8">
      <w:pPr>
        <w:spacing w:line="540" w:lineRule="exact"/>
        <w:ind w:firstLine="0" w:firstLineChars="0"/>
        <w:jc w:val="center"/>
        <w:rPr>
          <w:rFonts w:hint="eastAsia" w:ascii="黑体" w:hAnsi="黑体" w:eastAsia="黑体" w:cs="Times New Roman"/>
          <w:bCs/>
          <w:color w:val="auto"/>
          <w:szCs w:val="32"/>
        </w:rPr>
      </w:pPr>
      <w:r>
        <w:rPr>
          <w:rFonts w:hint="eastAsia" w:ascii="黑体" w:hAnsi="黑体" w:eastAsia="黑体" w:cs="Times New Roman"/>
          <w:bCs/>
          <w:color w:val="auto"/>
          <w:szCs w:val="32"/>
        </w:rPr>
        <w:t xml:space="preserve">第三章 </w:t>
      </w:r>
      <w:r>
        <w:rPr>
          <w:rFonts w:ascii="黑体" w:hAnsi="黑体" w:eastAsia="黑体" w:cs="Times New Roman"/>
          <w:bCs/>
          <w:color w:val="auto"/>
          <w:szCs w:val="32"/>
        </w:rPr>
        <w:t xml:space="preserve"> </w:t>
      </w:r>
      <w:r>
        <w:rPr>
          <w:rFonts w:hint="eastAsia" w:ascii="黑体" w:hAnsi="黑体" w:eastAsia="黑体" w:cs="Times New Roman"/>
          <w:bCs/>
          <w:color w:val="auto"/>
          <w:szCs w:val="32"/>
        </w:rPr>
        <w:t>管理要求</w:t>
      </w:r>
    </w:p>
    <w:p w14:paraId="41F477B1">
      <w:pPr>
        <w:spacing w:line="540" w:lineRule="exact"/>
        <w:ind w:firstLine="643"/>
        <w:rPr>
          <w:rFonts w:hint="eastAsia" w:ascii="楷体_GB2312" w:hAnsi="楷体_GB2312" w:eastAsia="楷体_GB2312" w:cs="楷体_GB2312"/>
          <w:b/>
          <w:color w:val="auto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Cs w:val="32"/>
        </w:rPr>
        <w:t>七、流通管理</w:t>
      </w:r>
    </w:p>
    <w:p w14:paraId="5AA0960B">
      <w:pPr>
        <w:spacing w:line="540" w:lineRule="exact"/>
        <w:ind w:firstLine="640"/>
        <w:rPr>
          <w:rFonts w:ascii="Times New Roman" w:hAnsi="Times New Roman" w:cs="Times New Roman"/>
          <w:bCs/>
          <w:color w:val="auto"/>
          <w:szCs w:val="32"/>
        </w:rPr>
      </w:pPr>
      <w:r>
        <w:rPr>
          <w:rFonts w:hint="eastAsia" w:ascii="Times New Roman" w:hAnsi="Times New Roman" w:cs="Times New Roman"/>
          <w:bCs/>
          <w:color w:val="auto"/>
          <w:szCs w:val="32"/>
        </w:rPr>
        <w:t>（一）</w:t>
      </w:r>
      <w:r>
        <w:rPr>
          <w:rFonts w:hint="eastAsia" w:ascii="Times New Roman" w:hAnsi="Times New Roman" w:cs="Times New Roman"/>
          <w:bCs/>
          <w:color w:val="auto"/>
          <w:szCs w:val="32"/>
          <w:lang w:eastAsia="zh-CN"/>
        </w:rPr>
        <w:t>常规产品</w:t>
      </w:r>
      <w:r>
        <w:rPr>
          <w:rFonts w:hint="eastAsia" w:ascii="Times New Roman" w:hAnsi="Times New Roman" w:cs="Times New Roman"/>
          <w:bCs/>
          <w:color w:val="auto"/>
          <w:szCs w:val="32"/>
        </w:rPr>
        <w:t>仅限广告公司用于企业内部福利发放、商务宴请、客户礼赠、圈层品鉴、自用招待等自用场景，严禁以任何形式进入丰谷酒业销售渠道。</w:t>
      </w:r>
    </w:p>
    <w:p w14:paraId="5DA90E8B">
      <w:pPr>
        <w:spacing w:line="540" w:lineRule="exact"/>
        <w:ind w:firstLine="640"/>
        <w:rPr>
          <w:rFonts w:ascii="Times New Roman" w:hAnsi="Times New Roman" w:cs="Times New Roman"/>
          <w:bCs/>
          <w:color w:val="auto"/>
          <w:szCs w:val="32"/>
        </w:rPr>
      </w:pPr>
      <w:r>
        <w:rPr>
          <w:rFonts w:hint="eastAsia" w:ascii="Times New Roman" w:hAnsi="Times New Roman" w:cs="Times New Roman"/>
          <w:bCs/>
          <w:color w:val="auto"/>
          <w:szCs w:val="32"/>
        </w:rPr>
        <w:t>（二）非</w:t>
      </w:r>
      <w:r>
        <w:rPr>
          <w:rFonts w:hint="eastAsia" w:ascii="Times New Roman" w:hAnsi="Times New Roman" w:cs="Times New Roman"/>
          <w:bCs/>
          <w:color w:val="auto"/>
          <w:szCs w:val="32"/>
          <w:lang w:eastAsia="zh-CN"/>
        </w:rPr>
        <w:t>常规产品</w:t>
      </w:r>
      <w:r>
        <w:rPr>
          <w:rFonts w:hint="eastAsia" w:ascii="Times New Roman" w:hAnsi="Times New Roman" w:cs="Times New Roman"/>
          <w:bCs/>
          <w:color w:val="auto"/>
          <w:szCs w:val="32"/>
        </w:rPr>
        <w:t>和定制产品不限制销售场景</w:t>
      </w:r>
      <w:r>
        <w:rPr>
          <w:rFonts w:hint="eastAsia" w:ascii="Times New Roman" w:hAnsi="Times New Roman" w:cs="Times New Roman"/>
          <w:bCs/>
          <w:color w:val="auto"/>
          <w:szCs w:val="32"/>
          <w:lang w:val="en-US" w:eastAsia="zh-CN"/>
        </w:rPr>
        <w:t>和渠道</w:t>
      </w:r>
      <w:r>
        <w:rPr>
          <w:rFonts w:hint="eastAsia" w:ascii="Times New Roman" w:hAnsi="Times New Roman" w:cs="Times New Roman"/>
          <w:bCs/>
          <w:color w:val="auto"/>
          <w:szCs w:val="32"/>
        </w:rPr>
        <w:t>。</w:t>
      </w:r>
    </w:p>
    <w:p w14:paraId="399FCF93">
      <w:pPr>
        <w:spacing w:line="540" w:lineRule="exact"/>
        <w:ind w:firstLine="643"/>
        <w:rPr>
          <w:rFonts w:hint="eastAsia" w:ascii="楷体_GB2312" w:hAnsi="楷体_GB2312" w:eastAsia="楷体_GB2312" w:cs="楷体_GB2312"/>
          <w:b/>
          <w:color w:val="auto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Cs w:val="32"/>
        </w:rPr>
        <w:t>八、价格管理</w:t>
      </w:r>
    </w:p>
    <w:p w14:paraId="4FA53DFF">
      <w:pPr>
        <w:snapToGrid w:val="0"/>
        <w:ind w:firstLine="640"/>
        <w:rPr>
          <w:rFonts w:hint="eastAsia"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各类产品置换价格原则上按照开票价格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或高于开票价格</w:t>
      </w:r>
      <w:r>
        <w:rPr>
          <w:rFonts w:hint="eastAsia" w:ascii="仿宋_GB2312" w:hAnsi="仿宋_GB2312" w:cs="仿宋_GB2312"/>
          <w:color w:val="auto"/>
          <w:szCs w:val="32"/>
        </w:rPr>
        <w:t>执行。若产品政策后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因特殊原因出现</w:t>
      </w:r>
      <w:r>
        <w:rPr>
          <w:rFonts w:hint="eastAsia" w:ascii="仿宋_GB2312" w:hAnsi="仿宋_GB2312" w:cs="仿宋_GB2312"/>
          <w:color w:val="auto"/>
          <w:szCs w:val="32"/>
        </w:rPr>
        <w:t>底价低于公司开票价格，需报公司本部总办会审议通过后执行。</w:t>
      </w:r>
    </w:p>
    <w:p w14:paraId="11483FB3">
      <w:pPr>
        <w:spacing w:line="540" w:lineRule="exact"/>
        <w:ind w:firstLine="643"/>
        <w:rPr>
          <w:rFonts w:hint="eastAsia" w:ascii="楷体_GB2312" w:hAnsi="楷体_GB2312" w:eastAsia="楷体_GB2312" w:cs="楷体_GB2312"/>
          <w:b/>
          <w:color w:val="auto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Cs w:val="32"/>
        </w:rPr>
        <w:t>九、数量管理</w:t>
      </w:r>
    </w:p>
    <w:p w14:paraId="1BC06443">
      <w:pPr>
        <w:widowControl/>
        <w:snapToGrid w:val="0"/>
        <w:ind w:firstLine="640"/>
        <w:jc w:val="left"/>
        <w:rPr>
          <w:rFonts w:hint="eastAsia"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  <w:lang w:eastAsia="zh-CN"/>
        </w:rPr>
        <w:t>常规产品</w:t>
      </w:r>
      <w:r>
        <w:rPr>
          <w:rFonts w:hint="eastAsia" w:ascii="仿宋_GB2312" w:hAnsi="仿宋_GB2312" w:cs="仿宋_GB2312"/>
          <w:color w:val="auto"/>
          <w:szCs w:val="32"/>
        </w:rPr>
        <w:t>。为保障市场流通秩序，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常规产品</w:t>
      </w:r>
      <w:r>
        <w:rPr>
          <w:rFonts w:hint="eastAsia" w:ascii="仿宋_GB2312" w:hAnsi="仿宋_GB2312" w:cs="仿宋_GB2312"/>
          <w:color w:val="auto"/>
          <w:szCs w:val="32"/>
        </w:rPr>
        <w:t>实行定额管控、按需审批原则，严控置换投放总量。单一一家合作方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常规产品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单次</w:t>
      </w:r>
      <w:r>
        <w:rPr>
          <w:rFonts w:hint="eastAsia" w:ascii="仿宋_GB2312" w:hAnsi="仿宋_GB2312" w:cs="仿宋_GB2312"/>
          <w:color w:val="auto"/>
          <w:szCs w:val="32"/>
        </w:rPr>
        <w:t>置换量不得超过产品</w:t>
      </w:r>
      <w:bookmarkStart w:id="11" w:name="OLE_LINK18"/>
      <w:r>
        <w:rPr>
          <w:rFonts w:hint="eastAsia" w:ascii="仿宋_GB2312" w:hAnsi="仿宋_GB2312" w:cs="仿宋_GB2312"/>
          <w:color w:val="auto"/>
          <w:szCs w:val="32"/>
        </w:rPr>
        <w:t>总置换</w:t>
      </w:r>
      <w:bookmarkStart w:id="12" w:name="OLE_LINK19"/>
      <w:r>
        <w:rPr>
          <w:rFonts w:hint="eastAsia" w:ascii="仿宋_GB2312" w:hAnsi="仿宋_GB2312" w:cs="仿宋_GB2312"/>
          <w:color w:val="auto"/>
          <w:szCs w:val="32"/>
        </w:rPr>
        <w:t>量的20%。</w:t>
      </w:r>
      <w:bookmarkEnd w:id="11"/>
      <w:bookmarkEnd w:id="12"/>
      <w:r>
        <w:rPr>
          <w:rFonts w:hint="eastAsia" w:ascii="仿宋_GB2312" w:hAnsi="仿宋_GB2312" w:cs="仿宋_GB2312"/>
          <w:color w:val="auto"/>
          <w:szCs w:val="32"/>
        </w:rPr>
        <w:t>确需超出定额的，需提交专项申请，并注明酒的用途，经产品所属销售公司逐级审批同意后方可执行。</w:t>
      </w:r>
    </w:p>
    <w:p w14:paraId="126F1D2B">
      <w:pPr>
        <w:widowControl/>
        <w:snapToGrid w:val="0"/>
        <w:ind w:firstLine="640"/>
        <w:jc w:val="left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非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常规产品</w:t>
      </w:r>
      <w:r>
        <w:rPr>
          <w:rFonts w:hint="eastAsia" w:ascii="仿宋_GB2312" w:hAnsi="仿宋_GB2312" w:cs="仿宋_GB2312"/>
          <w:color w:val="auto"/>
          <w:szCs w:val="32"/>
        </w:rPr>
        <w:t>和定制产品，实行一事一议、单项目逐级审批的管控模式，在置换金额内，不设定置换数量上限。</w:t>
      </w:r>
    </w:p>
    <w:p w14:paraId="566A5721">
      <w:pPr>
        <w:widowControl/>
        <w:snapToGrid w:val="0"/>
        <w:ind w:firstLine="640"/>
        <w:jc w:val="left"/>
        <w:rPr>
          <w:rFonts w:hint="eastAsia"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定制产品严格按照定制管理办法及定制合同执行。</w:t>
      </w:r>
    </w:p>
    <w:p w14:paraId="42C9ABD0">
      <w:pPr>
        <w:spacing w:line="540" w:lineRule="exact"/>
        <w:ind w:firstLine="643"/>
        <w:rPr>
          <w:rFonts w:hint="eastAsia" w:ascii="楷体_GB2312" w:hAnsi="楷体_GB2312" w:eastAsia="楷体_GB2312" w:cs="楷体_GB2312"/>
          <w:b/>
          <w:color w:val="auto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Cs w:val="32"/>
        </w:rPr>
        <w:t>十、产品流向管理</w:t>
      </w:r>
    </w:p>
    <w:p w14:paraId="4DD124ED">
      <w:pPr>
        <w:widowControl/>
        <w:snapToGrid w:val="0"/>
        <w:ind w:firstLine="640"/>
        <w:jc w:val="left"/>
        <w:rPr>
          <w:rFonts w:hint="eastAsia"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产品所属公司</w:t>
      </w:r>
      <w:r>
        <w:rPr>
          <w:rFonts w:hint="eastAsia" w:ascii="仿宋_GB2312" w:hAnsi="仿宋_GB2312" w:cs="仿宋_GB2312"/>
          <w:color w:val="auto"/>
          <w:szCs w:val="32"/>
        </w:rPr>
        <w:t>业务部门需对所有置换产品建立产品流向台账，做到产品流程可追溯，禁止各类产品流向合同约定之外的渠道。</w:t>
      </w:r>
    </w:p>
    <w:p w14:paraId="6B82742F">
      <w:pPr>
        <w:spacing w:line="540" w:lineRule="exact"/>
        <w:ind w:firstLine="640"/>
        <w:rPr>
          <w:rFonts w:ascii="Times New Roman" w:hAnsi="Times New Roman" w:cs="Times New Roman"/>
          <w:bCs/>
          <w:color w:val="auto"/>
          <w:szCs w:val="32"/>
        </w:rPr>
      </w:pPr>
    </w:p>
    <w:p w14:paraId="06B011FC">
      <w:pPr>
        <w:spacing w:line="540" w:lineRule="exact"/>
        <w:ind w:firstLine="0" w:firstLineChars="0"/>
        <w:jc w:val="center"/>
        <w:rPr>
          <w:rFonts w:hint="eastAsia" w:ascii="黑体" w:hAnsi="黑体" w:eastAsia="黑体" w:cs="Times New Roman"/>
          <w:bCs/>
          <w:color w:val="auto"/>
          <w:szCs w:val="32"/>
        </w:rPr>
      </w:pPr>
      <w:r>
        <w:rPr>
          <w:rFonts w:hint="eastAsia" w:ascii="黑体" w:hAnsi="黑体" w:eastAsia="黑体" w:cs="Times New Roman"/>
          <w:bCs/>
          <w:color w:val="auto"/>
          <w:szCs w:val="32"/>
        </w:rPr>
        <w:t xml:space="preserve">第四章 </w:t>
      </w:r>
      <w:r>
        <w:rPr>
          <w:rFonts w:ascii="黑体" w:hAnsi="黑体" w:eastAsia="黑体" w:cs="Times New Roman"/>
          <w:bCs/>
          <w:color w:val="auto"/>
          <w:szCs w:val="32"/>
        </w:rPr>
        <w:t xml:space="preserve"> </w:t>
      </w:r>
      <w:r>
        <w:rPr>
          <w:rFonts w:hint="eastAsia" w:ascii="黑体" w:hAnsi="黑体" w:eastAsia="黑体" w:cs="Times New Roman"/>
          <w:bCs/>
          <w:color w:val="auto"/>
          <w:szCs w:val="32"/>
        </w:rPr>
        <w:t>实施方式</w:t>
      </w:r>
    </w:p>
    <w:p w14:paraId="2BAE9B08">
      <w:pPr>
        <w:snapToGrid w:val="0"/>
        <w:ind w:firstLine="643"/>
        <w:rPr>
          <w:rFonts w:hint="eastAsia" w:ascii="楷体_GB2312" w:hAnsi="楷体_GB2312" w:eastAsia="楷体_GB2312" w:cs="楷体_GB2312"/>
          <w:b/>
          <w:bCs/>
          <w:color w:val="auto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Cs w:val="32"/>
        </w:rPr>
        <w:t>十一、方案公示</w:t>
      </w:r>
    </w:p>
    <w:p w14:paraId="647E5B5E">
      <w:pPr>
        <w:snapToGrid w:val="0"/>
        <w:ind w:firstLine="640"/>
        <w:rPr>
          <w:rStyle w:val="10"/>
          <w:rFonts w:hint="eastAsia" w:ascii="仿宋_GB2312" w:hAnsi="仿宋_GB2312" w:cs="仿宋_GB2312"/>
          <w:b w:val="0"/>
          <w:bCs/>
          <w:color w:val="auto"/>
          <w:kern w:val="0"/>
          <w:szCs w:val="32"/>
          <w:lang w:bidi="ar"/>
        </w:rPr>
      </w:pPr>
      <w:r>
        <w:rPr>
          <w:color w:val="auto"/>
        </w:rPr>
        <w:t>置换方案完成内部审批后，由品牌运营部对内、对外进行公示。各广告公司、媒体等单位可结合自身资源优势，提交置换方案及配套资源，参与资源置换。</w:t>
      </w:r>
    </w:p>
    <w:p w14:paraId="5E8420B4">
      <w:pPr>
        <w:pStyle w:val="2"/>
        <w:widowControl/>
        <w:spacing w:beforeAutospacing="0" w:afterAutospacing="0" w:line="360" w:lineRule="atLeast"/>
        <w:ind w:firstLine="643"/>
        <w:rPr>
          <w:rFonts w:ascii="楷体_GB2312" w:hAnsi="楷体_GB2312" w:eastAsia="楷体_GB2312" w:cs="楷体_GB2312"/>
          <w:color w:val="auto"/>
          <w:kern w:val="2"/>
          <w:sz w:val="32"/>
          <w:szCs w:val="32"/>
        </w:rPr>
      </w:pPr>
      <w:r>
        <w:rPr>
          <w:rFonts w:ascii="楷体_GB2312" w:hAnsi="楷体_GB2312" w:eastAsia="楷体_GB2312" w:cs="楷体_GB2312"/>
          <w:color w:val="auto"/>
          <w:kern w:val="2"/>
          <w:sz w:val="32"/>
          <w:szCs w:val="32"/>
        </w:rPr>
        <w:t>十二、资源筛查</w:t>
      </w:r>
    </w:p>
    <w:p w14:paraId="0DE78764">
      <w:pPr>
        <w:snapToGrid w:val="0"/>
        <w:ind w:firstLine="640"/>
        <w:rPr>
          <w:color w:val="auto"/>
        </w:rPr>
      </w:pPr>
      <w:r>
        <w:rPr>
          <w:rStyle w:val="10"/>
          <w:rFonts w:hint="eastAsia" w:ascii="仿宋_GB2312" w:hAnsi="仿宋_GB2312" w:cs="仿宋_GB2312"/>
          <w:b w:val="0"/>
          <w:bCs/>
          <w:color w:val="auto"/>
          <w:kern w:val="0"/>
          <w:szCs w:val="32"/>
          <w:lang w:bidi="ar"/>
        </w:rPr>
        <w:t>品牌运营部负责收集所有意向合作资源，对各申报单位提交的方案及资源进行筛查。对满足条件的单位开展合作意向前置沟通与资源评估，前置沟通主要涉及资源选择、</w:t>
      </w:r>
      <w:r>
        <w:rPr>
          <w:rStyle w:val="10"/>
          <w:rFonts w:hint="eastAsia" w:ascii="仿宋_GB2312" w:hAnsi="仿宋_GB2312" w:cs="仿宋_GB2312"/>
          <w:b w:val="0"/>
          <w:bCs/>
          <w:color w:val="auto"/>
          <w:kern w:val="0"/>
          <w:szCs w:val="32"/>
          <w:lang w:val="en-US" w:eastAsia="zh-CN" w:bidi="ar"/>
        </w:rPr>
        <w:t>方案</w:t>
      </w:r>
      <w:r>
        <w:rPr>
          <w:rStyle w:val="10"/>
          <w:rFonts w:hint="eastAsia" w:ascii="仿宋_GB2312" w:hAnsi="仿宋_GB2312" w:cs="仿宋_GB2312"/>
          <w:b w:val="0"/>
          <w:bCs/>
          <w:color w:val="auto"/>
          <w:kern w:val="0"/>
          <w:szCs w:val="32"/>
          <w:lang w:bidi="ar"/>
        </w:rPr>
        <w:t>意向报价以及销售渠道等内容。</w:t>
      </w:r>
    </w:p>
    <w:p w14:paraId="0641AD52">
      <w:pPr>
        <w:pStyle w:val="2"/>
        <w:widowControl/>
        <w:spacing w:beforeAutospacing="0" w:afterAutospacing="0" w:line="360" w:lineRule="atLeast"/>
        <w:ind w:firstLine="643"/>
        <w:rPr>
          <w:rFonts w:ascii="楷体_GB2312" w:hAnsi="楷体_GB2312" w:eastAsia="楷体_GB2312" w:cs="楷体_GB2312"/>
          <w:color w:val="auto"/>
          <w:kern w:val="2"/>
          <w:sz w:val="32"/>
          <w:szCs w:val="32"/>
        </w:rPr>
      </w:pPr>
      <w:r>
        <w:rPr>
          <w:rFonts w:ascii="楷体_GB2312" w:hAnsi="楷体_GB2312" w:eastAsia="楷体_GB2312" w:cs="楷体_GB2312"/>
          <w:color w:val="auto"/>
          <w:kern w:val="2"/>
          <w:sz w:val="32"/>
          <w:szCs w:val="32"/>
        </w:rPr>
        <w:t>十三、价格谈判</w:t>
      </w:r>
    </w:p>
    <w:p w14:paraId="20A2D9CA">
      <w:pPr>
        <w:snapToGrid w:val="0"/>
        <w:ind w:firstLine="640"/>
        <w:rPr>
          <w:rFonts w:hint="eastAsia"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由负责</w:t>
      </w:r>
      <w:bookmarkStart w:id="13" w:name="OLE_LINK22"/>
      <w:r>
        <w:rPr>
          <w:rFonts w:hint="eastAsia" w:ascii="仿宋_GB2312" w:hAnsi="仿宋_GB2312" w:cs="仿宋_GB2312"/>
          <w:color w:val="auto"/>
          <w:szCs w:val="32"/>
        </w:rPr>
        <w:t>品牌宣传投放</w:t>
      </w:r>
      <w:bookmarkEnd w:id="13"/>
      <w:r>
        <w:rPr>
          <w:rFonts w:hint="eastAsia" w:ascii="仿宋_GB2312" w:hAnsi="仿宋_GB2312" w:cs="仿宋_GB2312"/>
          <w:color w:val="auto"/>
          <w:szCs w:val="32"/>
        </w:rPr>
        <w:t>的部门（公司本部品牌运营部、销售公司品牌策划部、酒文化公司运营管理部等）牵头，通过市场调研的方式了解价格情况后，开展价格谈判。单项置换合作价格不超过50万元的，谈判小组成员（在公司评审人员储备库中随机抽取）应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由</w:t>
      </w:r>
      <w:r>
        <w:rPr>
          <w:rFonts w:hint="eastAsia" w:ascii="仿宋_GB2312" w:hAnsi="仿宋_GB2312" w:cs="仿宋_GB2312"/>
          <w:color w:val="auto"/>
          <w:szCs w:val="32"/>
        </w:rPr>
        <w:t>3人及以上（单数）组成，合作价格为50万元（含）及以上的，谈判小组</w:t>
      </w:r>
      <w:bookmarkStart w:id="14" w:name="OLE_LINK23"/>
      <w:r>
        <w:rPr>
          <w:rFonts w:hint="eastAsia" w:ascii="仿宋_GB2312" w:hAnsi="仿宋_GB2312" w:cs="仿宋_GB2312"/>
          <w:color w:val="auto"/>
          <w:szCs w:val="32"/>
        </w:rPr>
        <w:t>应</w:t>
      </w:r>
      <w:bookmarkEnd w:id="14"/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由</w:t>
      </w:r>
      <w:r>
        <w:rPr>
          <w:rFonts w:hint="eastAsia" w:ascii="仿宋_GB2312" w:hAnsi="仿宋_GB2312" w:cs="仿宋_GB2312"/>
          <w:color w:val="auto"/>
          <w:szCs w:val="32"/>
        </w:rPr>
        <w:t>5人及以上（单数）组成，开展意向合作谈判，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拟定合作方案</w:t>
      </w:r>
      <w:r>
        <w:rPr>
          <w:rFonts w:hint="eastAsia" w:ascii="仿宋_GB2312" w:hAnsi="仿宋_GB2312" w:cs="仿宋_GB2312"/>
          <w:color w:val="auto"/>
          <w:szCs w:val="32"/>
        </w:rPr>
        <w:t>。</w:t>
      </w:r>
    </w:p>
    <w:p w14:paraId="0FA70D8A">
      <w:pPr>
        <w:pStyle w:val="2"/>
        <w:widowControl/>
        <w:spacing w:beforeAutospacing="0" w:afterAutospacing="0" w:line="360" w:lineRule="atLeast"/>
        <w:ind w:firstLine="723"/>
        <w:rPr>
          <w:rFonts w:ascii="楷体_GB2312" w:hAnsi="楷体_GB2312" w:eastAsia="楷体_GB2312" w:cs="楷体_GB2312"/>
          <w:color w:val="auto"/>
          <w:kern w:val="2"/>
          <w:sz w:val="32"/>
          <w:szCs w:val="32"/>
        </w:rPr>
      </w:pPr>
      <w:r>
        <w:rPr>
          <w:rFonts w:ascii="楷体_GB2312" w:hAnsi="楷体_GB2312" w:eastAsia="楷体_GB2312" w:cs="楷体_GB2312"/>
          <w:color w:val="auto"/>
          <w:szCs w:val="32"/>
        </w:rPr>
        <w:t>十四、</w:t>
      </w:r>
      <w:bookmarkStart w:id="15" w:name="OLE_LINK26"/>
      <w:r>
        <w:rPr>
          <w:rFonts w:ascii="楷体_GB2312" w:hAnsi="楷体_GB2312" w:eastAsia="楷体_GB2312" w:cs="楷体_GB2312"/>
          <w:color w:val="auto"/>
          <w:kern w:val="2"/>
          <w:sz w:val="32"/>
          <w:szCs w:val="32"/>
        </w:rPr>
        <w:t>结果公示</w:t>
      </w:r>
    </w:p>
    <w:p w14:paraId="16BF1CEF">
      <w:pPr>
        <w:widowControl/>
        <w:spacing w:line="360" w:lineRule="atLeast"/>
        <w:ind w:firstLine="640"/>
        <w:jc w:val="left"/>
        <w:rPr>
          <w:rStyle w:val="10"/>
          <w:rFonts w:hint="eastAsia" w:ascii="仿宋_GB2312" w:hAnsi="仿宋_GB2312" w:cs="仿宋_GB2312"/>
          <w:b w:val="0"/>
          <w:bCs/>
          <w:color w:val="auto"/>
          <w:kern w:val="0"/>
          <w:szCs w:val="32"/>
          <w:lang w:bidi="ar"/>
        </w:rPr>
      </w:pPr>
      <w:r>
        <w:rPr>
          <w:rStyle w:val="10"/>
          <w:rFonts w:hint="eastAsia" w:ascii="仿宋_GB2312" w:hAnsi="仿宋_GB2312" w:cs="仿宋_GB2312"/>
          <w:b w:val="0"/>
          <w:bCs/>
          <w:color w:val="auto"/>
          <w:kern w:val="0"/>
          <w:szCs w:val="32"/>
          <w:lang w:bidi="ar"/>
        </w:rPr>
        <w:t>谈判结束后，对拟合作方进行三个工作日的公示。</w:t>
      </w:r>
    </w:p>
    <w:bookmarkEnd w:id="15"/>
    <w:p w14:paraId="2289DA4C">
      <w:pPr>
        <w:pStyle w:val="2"/>
        <w:widowControl/>
        <w:spacing w:beforeAutospacing="0" w:afterAutospacing="0" w:line="360" w:lineRule="atLeast"/>
        <w:ind w:firstLine="643"/>
        <w:rPr>
          <w:rFonts w:ascii="仿宋_GB2312" w:hAnsi="仿宋_GB2312" w:cs="仿宋_GB2312"/>
          <w:bCs w:val="0"/>
          <w:color w:val="auto"/>
          <w:szCs w:val="32"/>
          <w:lang w:bidi="ar"/>
        </w:rPr>
      </w:pPr>
      <w:r>
        <w:rPr>
          <w:rFonts w:ascii="楷体_GB2312" w:hAnsi="楷体_GB2312" w:eastAsia="楷体_GB2312" w:cs="楷体_GB2312"/>
          <w:color w:val="auto"/>
          <w:kern w:val="2"/>
          <w:sz w:val="32"/>
          <w:szCs w:val="32"/>
        </w:rPr>
        <w:t>十五、</w:t>
      </w:r>
      <w:bookmarkStart w:id="16" w:name="OLE_LINK28"/>
      <w:r>
        <w:rPr>
          <w:rFonts w:ascii="楷体_GB2312" w:hAnsi="楷体_GB2312" w:eastAsia="楷体_GB2312" w:cs="楷体_GB2312"/>
          <w:color w:val="auto"/>
          <w:szCs w:val="32"/>
        </w:rPr>
        <w:t>洽谈签约</w:t>
      </w:r>
    </w:p>
    <w:bookmarkEnd w:id="16"/>
    <w:p w14:paraId="1D886D21">
      <w:pPr>
        <w:snapToGrid w:val="0"/>
        <w:ind w:firstLine="640"/>
        <w:rPr>
          <w:rFonts w:hint="eastAsia" w:ascii="仿宋_GB2312" w:hAnsi="仿宋_GB2312" w:cs="仿宋_GB2312"/>
          <w:color w:val="auto"/>
          <w:szCs w:val="32"/>
        </w:rPr>
      </w:pPr>
      <w:bookmarkStart w:id="17" w:name="OLE_LINK27"/>
      <w:r>
        <w:rPr>
          <w:rFonts w:hint="eastAsia" w:ascii="仿宋_GB2312" w:hAnsi="仿宋_GB2312" w:cs="仿宋_GB2312"/>
          <w:color w:val="auto"/>
          <w:szCs w:val="32"/>
        </w:rPr>
        <w:t>由</w:t>
      </w:r>
      <w:bookmarkStart w:id="18" w:name="OLE_LINK24"/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产品所属公司业务部门</w:t>
      </w:r>
      <w:bookmarkEnd w:id="18"/>
      <w:r>
        <w:rPr>
          <w:rFonts w:hint="eastAsia" w:ascii="仿宋_GB2312" w:hAnsi="仿宋_GB2312" w:cs="仿宋_GB2312"/>
          <w:color w:val="auto"/>
          <w:szCs w:val="32"/>
        </w:rPr>
        <w:t>根据公示结果，与资源所属公司签订产品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置换合同</w:t>
      </w:r>
      <w:r>
        <w:rPr>
          <w:rFonts w:hint="eastAsia" w:ascii="仿宋_GB2312" w:hAnsi="仿宋_GB2312" w:cs="仿宋_GB2312"/>
          <w:color w:val="auto"/>
          <w:szCs w:val="32"/>
        </w:rPr>
        <w:t>。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合同</w:t>
      </w:r>
      <w:r>
        <w:rPr>
          <w:rFonts w:hint="eastAsia" w:ascii="仿宋_GB2312" w:hAnsi="仿宋_GB2312" w:cs="仿宋_GB2312"/>
          <w:color w:val="auto"/>
          <w:szCs w:val="32"/>
        </w:rPr>
        <w:t>内容包括产品类别、销售价格、销售数量、总金额等，同时约定</w:t>
      </w:r>
      <w:bookmarkEnd w:id="17"/>
      <w:r>
        <w:rPr>
          <w:rFonts w:hint="eastAsia" w:ascii="仿宋_GB2312" w:hAnsi="仿宋_GB2312" w:cs="仿宋_GB2312"/>
          <w:color w:val="auto"/>
          <w:szCs w:val="32"/>
        </w:rPr>
        <w:t>款项支付方式及时间节点。</w:t>
      </w:r>
    </w:p>
    <w:p w14:paraId="633991C3">
      <w:pPr>
        <w:spacing w:line="540" w:lineRule="exact"/>
        <w:ind w:firstLine="640"/>
        <w:rPr>
          <w:rFonts w:ascii="Times New Roman" w:hAnsi="Times New Roman" w:cs="Times New Roman"/>
          <w:bCs/>
          <w:color w:val="auto"/>
          <w:szCs w:val="32"/>
        </w:rPr>
      </w:pPr>
    </w:p>
    <w:p w14:paraId="0895E6EC">
      <w:pPr>
        <w:spacing w:line="540" w:lineRule="exact"/>
        <w:ind w:firstLine="0" w:firstLineChars="0"/>
        <w:jc w:val="center"/>
        <w:rPr>
          <w:rFonts w:hint="default" w:ascii="黑体" w:hAnsi="黑体" w:eastAsia="黑体" w:cs="Times New Roman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color w:val="auto"/>
          <w:szCs w:val="32"/>
        </w:rPr>
        <w:t>第</w:t>
      </w:r>
      <w:r>
        <w:rPr>
          <w:rFonts w:hint="eastAsia" w:ascii="黑体" w:hAnsi="黑体" w:eastAsia="黑体" w:cs="Times New Roman"/>
          <w:bCs/>
          <w:color w:val="auto"/>
          <w:szCs w:val="32"/>
          <w:lang w:val="en-US" w:eastAsia="zh-CN"/>
        </w:rPr>
        <w:t>五</w:t>
      </w:r>
      <w:r>
        <w:rPr>
          <w:rFonts w:hint="eastAsia" w:ascii="黑体" w:hAnsi="黑体" w:eastAsia="黑体" w:cs="Times New Roman"/>
          <w:bCs/>
          <w:color w:val="auto"/>
          <w:szCs w:val="32"/>
        </w:rPr>
        <w:t xml:space="preserve">章 </w:t>
      </w:r>
      <w:r>
        <w:rPr>
          <w:rFonts w:ascii="黑体" w:hAnsi="黑体" w:eastAsia="黑体" w:cs="Times New Roman"/>
          <w:bCs/>
          <w:color w:val="auto"/>
          <w:szCs w:val="32"/>
        </w:rPr>
        <w:t xml:space="preserve"> </w:t>
      </w:r>
      <w:r>
        <w:rPr>
          <w:rFonts w:hint="eastAsia" w:ascii="黑体" w:hAnsi="黑体" w:eastAsia="黑体" w:cs="Times New Roman"/>
          <w:bCs/>
          <w:color w:val="auto"/>
          <w:szCs w:val="32"/>
          <w:lang w:val="en-US" w:eastAsia="zh-CN"/>
        </w:rPr>
        <w:t>执行流程</w:t>
      </w:r>
    </w:p>
    <w:p w14:paraId="692895E4">
      <w:pPr>
        <w:snapToGrid w:val="0"/>
        <w:ind w:firstLine="643"/>
        <w:rPr>
          <w:rFonts w:hint="eastAsia" w:ascii="楷体_GB2312" w:hAnsi="楷体_GB2312" w:eastAsia="楷体_GB2312" w:cs="楷体_GB2312"/>
          <w:b/>
          <w:bCs/>
          <w:color w:val="auto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Cs w:val="32"/>
        </w:rPr>
        <w:t>十</w:t>
      </w:r>
      <w:r>
        <w:rPr>
          <w:rFonts w:hint="eastAsia" w:ascii="楷体_GB2312" w:hAnsi="楷体_GB2312" w:eastAsia="楷体_GB2312" w:cs="楷体_GB2312"/>
          <w:b/>
          <w:bCs/>
          <w:color w:val="auto"/>
          <w:szCs w:val="32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b/>
          <w:bCs/>
          <w:color w:val="auto"/>
          <w:szCs w:val="32"/>
        </w:rPr>
        <w:t>、</w:t>
      </w:r>
      <w:r>
        <w:rPr>
          <w:rFonts w:hint="eastAsia" w:ascii="楷体_GB2312" w:hAnsi="楷体_GB2312" w:eastAsia="楷体_GB2312" w:cs="楷体_GB2312"/>
          <w:b/>
          <w:bCs/>
          <w:color w:val="auto"/>
          <w:szCs w:val="32"/>
          <w:lang w:val="en-US" w:eastAsia="zh-CN"/>
        </w:rPr>
        <w:t>执行流程</w:t>
      </w:r>
    </w:p>
    <w:p w14:paraId="3C6E710B">
      <w:pPr>
        <w:snapToGrid w:val="0"/>
        <w:ind w:firstLine="643"/>
        <w:rPr>
          <w:rFonts w:hint="eastAsia" w:ascii="楷体_GB2312" w:hAnsi="楷体_GB2312" w:eastAsia="楷体_GB2312" w:cs="楷体_GB2312"/>
          <w:b/>
          <w:bCs/>
          <w:color w:val="auto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Cs w:val="32"/>
          <w:lang w:val="en-US" w:eastAsia="zh-CN"/>
        </w:rPr>
        <w:t>（一）实施与验收</w:t>
      </w:r>
    </w:p>
    <w:p w14:paraId="219A29BB">
      <w:pPr>
        <w:snapToGrid w:val="0"/>
        <w:ind w:firstLine="643"/>
        <w:rPr>
          <w:rFonts w:hint="eastAsia" w:ascii="仿宋_GB2312" w:hAnsi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品牌运营部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按照《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品牌传播项目管理办法（试行）》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</w:rPr>
        <w:t>绵丰酒司[2025]</w:t>
      </w:r>
      <w:r>
        <w:rPr>
          <w:rFonts w:hint="eastAsia"/>
          <w:color w:val="auto"/>
          <w:lang w:val="en-US" w:eastAsia="zh-CN"/>
        </w:rPr>
        <w:t>226</w:t>
      </w:r>
      <w:r>
        <w:rPr>
          <w:rFonts w:hint="eastAsia"/>
          <w:color w:val="auto"/>
        </w:rPr>
        <w:t>号</w:t>
      </w:r>
      <w:r>
        <w:rPr>
          <w:rFonts w:hint="eastAsia"/>
          <w:color w:val="auto"/>
          <w:lang w:eastAsia="zh-CN"/>
        </w:rPr>
        <w:t>）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等制度进行方案拟定、公示。</w:t>
      </w:r>
    </w:p>
    <w:p w14:paraId="04C0B18E">
      <w:pPr>
        <w:snapToGrid w:val="0"/>
        <w:ind w:firstLine="640"/>
        <w:rPr>
          <w:rFonts w:hint="eastAsia" w:ascii="仿宋_GB2312" w:hAnsi="仿宋_GB2312" w:cs="仿宋_GB2312"/>
          <w:color w:val="auto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由负责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品牌宣传投放的部门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进行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意向方选择、市场调研、谈判、</w:t>
      </w:r>
      <w:r>
        <w:rPr>
          <w:rFonts w:hint="eastAsia" w:ascii="仿宋_GB2312" w:hAnsi="仿宋_GB2312" w:cs="仿宋_GB2312"/>
          <w:color w:val="auto"/>
          <w:szCs w:val="32"/>
          <w:shd w:val="clear" w:color="auto" w:fill="FFFFFF"/>
        </w:rPr>
        <w:t>宣传活动</w:t>
      </w:r>
      <w:bookmarkStart w:id="19" w:name="OLE_LINK12"/>
      <w:r>
        <w:rPr>
          <w:rFonts w:hint="eastAsia" w:ascii="仿宋_GB2312" w:hAnsi="仿宋_GB2312" w:cs="仿宋_GB2312"/>
          <w:color w:val="auto"/>
          <w:szCs w:val="32"/>
          <w:shd w:val="clear" w:color="auto" w:fill="FFFFFF"/>
        </w:rPr>
        <w:t>确定</w:t>
      </w:r>
      <w:bookmarkEnd w:id="19"/>
      <w:r>
        <w:rPr>
          <w:rFonts w:hint="eastAsia" w:ascii="仿宋_GB2312" w:hAnsi="仿宋_GB2312" w:cs="仿宋_GB2312"/>
          <w:color w:val="auto"/>
          <w:szCs w:val="32"/>
          <w:shd w:val="clear" w:color="auto" w:fill="FFFFFF"/>
        </w:rPr>
        <w:t>与执行。</w:t>
      </w:r>
    </w:p>
    <w:p w14:paraId="5B40A9C0">
      <w:pPr>
        <w:numPr>
          <w:ilvl w:val="0"/>
          <w:numId w:val="1"/>
        </w:numPr>
        <w:snapToGrid w:val="0"/>
        <w:ind w:firstLine="643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产品出库</w:t>
      </w:r>
    </w:p>
    <w:p w14:paraId="125405D5">
      <w:pPr>
        <w:numPr>
          <w:ilvl w:val="0"/>
          <w:numId w:val="0"/>
        </w:numPr>
        <w:snapToGrid w:val="0"/>
        <w:ind w:firstLine="640" w:firstLineChars="200"/>
        <w:rPr>
          <w:rFonts w:hint="default" w:ascii="仿宋_GB2312" w:hAnsi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由计划管理部负责置换产品出库、由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产品所属公司订单岗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负责开具发货单。</w:t>
      </w:r>
    </w:p>
    <w:p w14:paraId="14951B73">
      <w:pPr>
        <w:numPr>
          <w:ilvl w:val="0"/>
          <w:numId w:val="1"/>
        </w:numPr>
        <w:snapToGrid w:val="0"/>
        <w:ind w:firstLine="643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财务处理</w:t>
      </w:r>
    </w:p>
    <w:p w14:paraId="2A49C859">
      <w:pPr>
        <w:numPr>
          <w:ilvl w:val="0"/>
          <w:numId w:val="0"/>
        </w:numPr>
        <w:snapToGrid w:val="0"/>
        <w:ind w:firstLine="640" w:firstLineChars="200"/>
        <w:rPr>
          <w:rFonts w:hint="eastAsia" w:ascii="仿宋_GB2312" w:hAnsi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由资金财务部负责开具发票。</w:t>
      </w:r>
    </w:p>
    <w:p w14:paraId="62E0F2A2">
      <w:pPr>
        <w:numPr>
          <w:ilvl w:val="0"/>
          <w:numId w:val="0"/>
        </w:numPr>
        <w:snapToGrid w:val="0"/>
        <w:ind w:firstLine="640" w:firstLineChars="200"/>
        <w:rPr>
          <w:rFonts w:hint="default" w:ascii="仿宋_GB2312" w:hAnsi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29CE9CC9">
      <w:pPr>
        <w:spacing w:line="540" w:lineRule="exact"/>
        <w:ind w:firstLine="0" w:firstLineChars="0"/>
        <w:jc w:val="center"/>
        <w:rPr>
          <w:rFonts w:hint="eastAsia" w:ascii="黑体" w:hAnsi="黑体" w:eastAsia="黑体" w:cs="仿宋_GB2312"/>
          <w:color w:val="auto"/>
          <w:szCs w:val="32"/>
        </w:rPr>
      </w:pPr>
      <w:r>
        <w:rPr>
          <w:rFonts w:hint="eastAsia" w:ascii="黑体" w:hAnsi="黑体" w:eastAsia="黑体" w:cs="仿宋_GB2312"/>
          <w:color w:val="auto"/>
          <w:szCs w:val="32"/>
        </w:rPr>
        <w:t>第</w:t>
      </w:r>
      <w:r>
        <w:rPr>
          <w:rFonts w:hint="eastAsia" w:ascii="黑体" w:hAnsi="黑体" w:eastAsia="黑体" w:cs="仿宋_GB2312"/>
          <w:color w:val="auto"/>
          <w:szCs w:val="32"/>
          <w:lang w:val="en-US" w:eastAsia="zh-CN"/>
        </w:rPr>
        <w:t>六</w:t>
      </w:r>
      <w:r>
        <w:rPr>
          <w:rFonts w:hint="eastAsia" w:ascii="黑体" w:hAnsi="黑体" w:eastAsia="黑体" w:cs="仿宋_GB2312"/>
          <w:color w:val="auto"/>
          <w:szCs w:val="32"/>
        </w:rPr>
        <w:t xml:space="preserve">章 </w:t>
      </w:r>
      <w:r>
        <w:rPr>
          <w:rFonts w:ascii="黑体" w:hAnsi="黑体" w:eastAsia="黑体" w:cs="仿宋_GB2312"/>
          <w:color w:val="auto"/>
          <w:szCs w:val="32"/>
        </w:rPr>
        <w:t xml:space="preserve"> </w:t>
      </w:r>
      <w:r>
        <w:rPr>
          <w:rFonts w:hint="eastAsia" w:ascii="黑体" w:hAnsi="黑体" w:eastAsia="黑体" w:cs="仿宋_GB2312"/>
          <w:color w:val="auto"/>
          <w:szCs w:val="32"/>
        </w:rPr>
        <w:t>附则</w:t>
      </w:r>
    </w:p>
    <w:p w14:paraId="76619B44">
      <w:pPr>
        <w:snapToGrid w:val="0"/>
        <w:ind w:firstLine="641"/>
        <w:rPr>
          <w:rFonts w:hint="eastAsia" w:ascii="仿宋_GB2312" w:hAnsi="仿宋_GB2312" w:cs="仿宋_GB2312"/>
          <w:color w:val="auto"/>
          <w:szCs w:val="32"/>
        </w:rPr>
      </w:pPr>
      <w:r>
        <w:rPr>
          <w:rFonts w:hint="eastAsia" w:ascii="华文楷体" w:hAnsi="华文楷体" w:eastAsia="华文楷体" w:cs="仿宋_GB2312"/>
          <w:b/>
          <w:bCs/>
          <w:color w:val="auto"/>
          <w:szCs w:val="32"/>
        </w:rPr>
        <w:t>十六、</w:t>
      </w:r>
      <w:r>
        <w:rPr>
          <w:rFonts w:ascii="仿宋_GB2312" w:hAnsi="仿宋_GB2312" w:cs="仿宋_GB2312"/>
          <w:color w:val="auto"/>
          <w:szCs w:val="32"/>
        </w:rPr>
        <w:t>本方案</w:t>
      </w:r>
      <w:bookmarkStart w:id="20" w:name="OLE_LINK7"/>
      <w:r>
        <w:rPr>
          <w:rFonts w:ascii="仿宋_GB2312" w:hAnsi="仿宋_GB2312" w:cs="仿宋_GB2312"/>
          <w:color w:val="auto"/>
          <w:szCs w:val="32"/>
        </w:rPr>
        <w:t>自印发之日起施行，有效期限一年。</w:t>
      </w:r>
    </w:p>
    <w:bookmarkEnd w:id="20"/>
    <w:p w14:paraId="198E6E26">
      <w:pPr>
        <w:spacing w:line="540" w:lineRule="exact"/>
        <w:ind w:firstLine="640"/>
        <w:rPr>
          <w:rFonts w:hint="eastAsia" w:ascii="仿宋_GB2312" w:hAnsi="仿宋_GB2312" w:cs="仿宋_GB2312"/>
          <w:color w:val="auto"/>
          <w:szCs w:val="32"/>
        </w:rPr>
      </w:pPr>
    </w:p>
    <w:p w14:paraId="082477C2">
      <w:pPr>
        <w:spacing w:line="540" w:lineRule="exact"/>
        <w:ind w:firstLine="640"/>
        <w:rPr>
          <w:rFonts w:hint="eastAsia" w:ascii="仿宋_GB2312" w:hAnsi="仿宋_GB2312" w:cs="仿宋_GB2312"/>
          <w:color w:val="auto"/>
          <w:szCs w:val="32"/>
        </w:rPr>
      </w:pPr>
    </w:p>
    <w:p w14:paraId="7A12F9AE">
      <w:pPr>
        <w:spacing w:line="540" w:lineRule="exact"/>
        <w:ind w:firstLine="640"/>
        <w:rPr>
          <w:rFonts w:hint="eastAsia"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     </w:t>
      </w:r>
    </w:p>
    <w:p w14:paraId="45018EDB">
      <w:pPr>
        <w:spacing w:line="540" w:lineRule="exact"/>
        <w:ind w:firstLine="0" w:firstLineChars="0"/>
        <w:rPr>
          <w:color w:val="auto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">
    <w:panose1 w:val="02010609010101010101"/>
    <w:charset w:val="86"/>
    <w:family w:val="auto"/>
    <w:pitch w:val="default"/>
    <w:sig w:usb0="00000000" w:usb1="00000000" w:usb2="00000000" w:usb3="00000000" w:csb0="20160004" w:csb1="001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C8F51">
    <w:pPr>
      <w:pStyle w:val="5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B0EF48">
                          <w:pPr>
                            <w:pStyle w:val="5"/>
                            <w:ind w:firstLine="360"/>
                          </w:pPr>
                          <w: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B0EF48">
                    <w:pPr>
                      <w:pStyle w:val="5"/>
                      <w:ind w:firstLine="360"/>
                    </w:pPr>
                    <w: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3D3ACA"/>
    <w:multiLevelType w:val="singleLevel"/>
    <w:tmpl w:val="943D3AC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CB8"/>
    <w:rsid w:val="000033D7"/>
    <w:rsid w:val="000818CE"/>
    <w:rsid w:val="00091563"/>
    <w:rsid w:val="00140249"/>
    <w:rsid w:val="001D2255"/>
    <w:rsid w:val="002152F6"/>
    <w:rsid w:val="0026629E"/>
    <w:rsid w:val="00377637"/>
    <w:rsid w:val="005E4A13"/>
    <w:rsid w:val="005F2BE9"/>
    <w:rsid w:val="006B331B"/>
    <w:rsid w:val="007C2380"/>
    <w:rsid w:val="007F2150"/>
    <w:rsid w:val="00874FC1"/>
    <w:rsid w:val="008862F4"/>
    <w:rsid w:val="00972CB8"/>
    <w:rsid w:val="00B0742F"/>
    <w:rsid w:val="00C45081"/>
    <w:rsid w:val="00D364AC"/>
    <w:rsid w:val="00E5333D"/>
    <w:rsid w:val="00E7635E"/>
    <w:rsid w:val="00EE55E8"/>
    <w:rsid w:val="00F30C8A"/>
    <w:rsid w:val="00F84570"/>
    <w:rsid w:val="00FB22DE"/>
    <w:rsid w:val="0134538F"/>
    <w:rsid w:val="04186B29"/>
    <w:rsid w:val="06120092"/>
    <w:rsid w:val="09A1010A"/>
    <w:rsid w:val="0A0F4BBF"/>
    <w:rsid w:val="0AB70FA0"/>
    <w:rsid w:val="10002072"/>
    <w:rsid w:val="102B64CB"/>
    <w:rsid w:val="11744D99"/>
    <w:rsid w:val="11EF343F"/>
    <w:rsid w:val="13840879"/>
    <w:rsid w:val="14476164"/>
    <w:rsid w:val="14945EE4"/>
    <w:rsid w:val="14DE428A"/>
    <w:rsid w:val="16EA1784"/>
    <w:rsid w:val="198B7C02"/>
    <w:rsid w:val="1C33608C"/>
    <w:rsid w:val="1F4F07F6"/>
    <w:rsid w:val="1F98649C"/>
    <w:rsid w:val="21CB7332"/>
    <w:rsid w:val="230C5CE8"/>
    <w:rsid w:val="23F339A9"/>
    <w:rsid w:val="24A863E6"/>
    <w:rsid w:val="27723A43"/>
    <w:rsid w:val="280368B2"/>
    <w:rsid w:val="28363566"/>
    <w:rsid w:val="2A6D6093"/>
    <w:rsid w:val="2C3235FB"/>
    <w:rsid w:val="2C74022C"/>
    <w:rsid w:val="2CA43435"/>
    <w:rsid w:val="2D1B7D95"/>
    <w:rsid w:val="2D2C4244"/>
    <w:rsid w:val="30DA46B3"/>
    <w:rsid w:val="324B6113"/>
    <w:rsid w:val="32BA12BD"/>
    <w:rsid w:val="33491B2B"/>
    <w:rsid w:val="36A476B6"/>
    <w:rsid w:val="374B6987"/>
    <w:rsid w:val="384855BD"/>
    <w:rsid w:val="3A8D72B7"/>
    <w:rsid w:val="3AA0523C"/>
    <w:rsid w:val="3BFD73CC"/>
    <w:rsid w:val="3EBA2645"/>
    <w:rsid w:val="3F7C5B6A"/>
    <w:rsid w:val="4274655D"/>
    <w:rsid w:val="429F402B"/>
    <w:rsid w:val="46A571FB"/>
    <w:rsid w:val="49F153DD"/>
    <w:rsid w:val="4AAC1020"/>
    <w:rsid w:val="4C464228"/>
    <w:rsid w:val="4F1A080B"/>
    <w:rsid w:val="51A52CE0"/>
    <w:rsid w:val="51E20EFD"/>
    <w:rsid w:val="51FB0DCC"/>
    <w:rsid w:val="54B41BB8"/>
    <w:rsid w:val="562C39D0"/>
    <w:rsid w:val="57CA34A1"/>
    <w:rsid w:val="5AE96297"/>
    <w:rsid w:val="5B7F125C"/>
    <w:rsid w:val="5DBD50BB"/>
    <w:rsid w:val="5E992D1D"/>
    <w:rsid w:val="5EB647CF"/>
    <w:rsid w:val="60A2745F"/>
    <w:rsid w:val="615A2FA2"/>
    <w:rsid w:val="61F636C4"/>
    <w:rsid w:val="630E2DDB"/>
    <w:rsid w:val="67746F85"/>
    <w:rsid w:val="69BE3C72"/>
    <w:rsid w:val="6AFA5031"/>
    <w:rsid w:val="6C433B33"/>
    <w:rsid w:val="71436B25"/>
    <w:rsid w:val="71866138"/>
    <w:rsid w:val="71FB74AE"/>
    <w:rsid w:val="733C5CD1"/>
    <w:rsid w:val="74DC621E"/>
    <w:rsid w:val="74FD1EE7"/>
    <w:rsid w:val="759D0B26"/>
    <w:rsid w:val="75CC07EE"/>
    <w:rsid w:val="77756B2D"/>
    <w:rsid w:val="778B29FD"/>
    <w:rsid w:val="DFFD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rPr>
      <w:rFonts w:ascii="Calibri" w:hAnsi="Calibri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1590</Words>
  <Characters>1609</Characters>
  <Lines>10</Lines>
  <Paragraphs>3</Paragraphs>
  <TotalTime>7</TotalTime>
  <ScaleCrop>false</ScaleCrop>
  <LinksUpToDate>false</LinksUpToDate>
  <CharactersWithSpaces>1655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2024-03-15T10:02:00Z</dcterms:created>
  <dc:creator>SSK</dc:creator>
  <cp:lastModifiedBy>罗萍萍</cp:lastModifiedBy>
  <cp:lastPrinted>2026-06-01T08:30:00Z</cp:lastPrinted>
  <dcterms:modified xsi:type="dcterms:W3CDTF">2026-06-08T03:49:22Z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E49188ECB2E948EE959057D880D1E48A_13</vt:lpwstr>
  </property>
  <property fmtid="{D5CDD505-2E9C-101B-9397-08002B2CF9AE}" pid="4" name="KSOTemplateDocerSaveRecord">
    <vt:lpwstr>eyJoZGlkIjoiNDc4NGE0Y2MwNDc3NWZmM2I4NTA3NTI4NzRlYWYzOTAiLCJ1c2VySWQiOiI0NDczODI1NTkifQ==</vt:lpwstr>
  </property>
</Properties>
</file>